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4A4C" w:rsidRDefault="00DA4A4C">
      <w:pPr>
        <w:spacing w:after="0" w:line="100" w:lineRule="atLeast"/>
        <w:jc w:val="center"/>
      </w:pPr>
      <w:r>
        <w:pict>
          <v:shapetype id="_x0000_t202" coordsize="21600,21600" o:spt="202" path="m,l,21600r21600,l21600,xe">
            <v:stroke joinstyle="miter"/>
            <v:path gradientshapeok="t" o:connecttype="rect"/>
          </v:shapetype>
          <v:shape id="_x0000_s1026" type="#_x0000_t202" style="position:absolute;left:0;text-align:left;margin-left:199.55pt;margin-top:10.5pt;width:330pt;height:92.2pt;z-index:251656704;mso-wrap-distance-left:0;mso-wrap-distance-right:0" fillcolor="#ffc" stroked="f">
            <v:fill color2="#003"/>
            <v:textbox inset="0,0,0,0">
              <w:txbxContent>
                <w:p w:rsidR="00DA4A4C" w:rsidRDefault="00DA4A4C">
                  <w:pPr>
                    <w:spacing w:after="0" w:line="100" w:lineRule="atLeast"/>
                    <w:jc w:val="center"/>
                  </w:pPr>
                </w:p>
                <w:p w:rsidR="00DA4A4C" w:rsidRDefault="00DA4A4C">
                  <w:pPr>
                    <w:spacing w:after="0" w:line="100" w:lineRule="atLeast"/>
                    <w:jc w:val="center"/>
                    <w:rPr>
                      <w:rFonts w:ascii="Arial" w:hAnsi="Arial" w:cs="Arial"/>
                      <w:b/>
                      <w:bCs/>
                      <w:sz w:val="36"/>
                      <w:szCs w:val="36"/>
                    </w:rPr>
                  </w:pPr>
                  <w:r>
                    <w:rPr>
                      <w:rFonts w:ascii="Arial" w:hAnsi="Arial" w:cs="Arial"/>
                      <w:b/>
                      <w:bCs/>
                      <w:sz w:val="36"/>
                      <w:szCs w:val="36"/>
                    </w:rPr>
                    <w:t xml:space="preserve">   FONCTION PUBLIQUE</w:t>
                  </w:r>
                </w:p>
                <w:p w:rsidR="00DA4A4C" w:rsidRDefault="00DA4A4C">
                  <w:pPr>
                    <w:spacing w:after="0" w:line="100" w:lineRule="atLeast"/>
                    <w:jc w:val="center"/>
                  </w:pPr>
                  <w:r>
                    <w:rPr>
                      <w:rFonts w:ascii="Arial" w:hAnsi="Arial" w:cs="Arial"/>
                      <w:b/>
                      <w:bCs/>
                      <w:sz w:val="36"/>
                      <w:szCs w:val="36"/>
                    </w:rPr>
                    <w:t xml:space="preserve"> Abrogation de la journée de carence par l’assemblée nationale</w:t>
                  </w:r>
                </w:p>
              </w:txbxContent>
            </v:textbox>
            <w10:wrap type="square"/>
          </v:shape>
        </w:pict>
      </w:r>
      <w:r>
        <w:pict>
          <v:group id="_x0000_s1028" style="position:absolute;left:0;text-align:left;margin-left:14.25pt;margin-top:6.7pt;width:116.95pt;height:116.9pt;z-index:251658752;mso-wrap-distance-left:0;mso-wrap-distance-right:0" coordorigin="285,134" coordsize="2339,2338">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531;top:134;width:1741;height:1928;mso-wrap-style:none;v-text-anchor:middle" strokecolor="gray">
              <v:fill type="frame"/>
              <v:stroke color2="#7f7f7f" joinstyle="round"/>
              <v:imagedata r:id="rId5" o:title=""/>
            </v:shape>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0" type="#_x0000_t175" style="position:absolute;left:285;top:1717;width:2338;height:754;mso-wrap-style:none;v-text-anchor:middle" adj="7200" fillcolor="black" strokeweight=".26mm">
              <v:stroke joinstyle="miter" endcap="square"/>
              <v:textpath style="font-family:&quot;Times New Roman&quot;;font-size:12pt;v-text-kern:t" fitpath="t" string="Quimper-Concarneau"/>
            </v:shape>
          </v:group>
        </w:pict>
      </w: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
    <w:p w:rsidR="00DA4A4C" w:rsidRDefault="00DA4A4C">
      <w:pPr>
        <w:spacing w:after="0" w:line="100" w:lineRule="atLeast"/>
        <w:jc w:val="center"/>
      </w:pPr>
    </w:p>
    <w:p w:rsidR="00DA4A4C" w:rsidRDefault="00DA4A4C">
      <w:pPr>
        <w:spacing w:after="0" w:line="100" w:lineRule="atLeast"/>
        <w:jc w:val="center"/>
      </w:pPr>
    </w:p>
    <w:p w:rsidR="00DA4A4C" w:rsidRDefault="00DA4A4C">
      <w:pPr>
        <w:spacing w:after="0" w:line="100" w:lineRule="atLeast"/>
        <w:jc w:val="center"/>
      </w:pPr>
    </w:p>
    <w:p w:rsidR="00DA4A4C" w:rsidRDefault="00DA4A4C">
      <w:pPr>
        <w:spacing w:after="0" w:line="100" w:lineRule="atLeast"/>
        <w:jc w:val="center"/>
      </w:pPr>
    </w:p>
    <w:p w:rsidR="00DA4A4C" w:rsidRDefault="00DA4A4C">
      <w:pPr>
        <w:spacing w:after="0" w:line="100" w:lineRule="atLeast"/>
        <w:jc w:val="center"/>
      </w:pPr>
    </w:p>
    <w:p w:rsidR="00DA4A4C" w:rsidRDefault="00DA4A4C">
      <w:pPr>
        <w:spacing w:after="0" w:line="100" w:lineRule="atLeast"/>
        <w:jc w:val="center"/>
      </w:pPr>
    </w:p>
    <w:p w:rsidR="00DA4A4C" w:rsidRDefault="00DA4A4C">
      <w:pPr>
        <w:spacing w:after="0" w:line="100" w:lineRule="atLeast"/>
        <w:jc w:val="center"/>
      </w:pPr>
    </w:p>
    <w:p w:rsidR="00DA4A4C" w:rsidRDefault="00DA4A4C">
      <w:pPr>
        <w:spacing w:after="0" w:line="100" w:lineRule="atLeast"/>
        <w:jc w:val="center"/>
      </w:pPr>
    </w:p>
    <w:p w:rsidR="00DA4A4C" w:rsidRDefault="00DA4A4C">
      <w:pPr>
        <w:spacing w:after="0" w:line="100" w:lineRule="atLeast"/>
        <w:jc w:val="center"/>
        <w:rPr>
          <w:rFonts w:ascii="Arial" w:hAnsi="Arial" w:cs="Arial"/>
          <w:b/>
          <w:bCs/>
          <w:sz w:val="28"/>
          <w:szCs w:val="28"/>
        </w:rPr>
      </w:pPr>
      <w:r>
        <w:rPr>
          <w:rFonts w:ascii="Arial" w:hAnsi="Arial" w:cs="Arial"/>
          <w:b/>
          <w:bCs/>
          <w:sz w:val="28"/>
          <w:szCs w:val="28"/>
        </w:rPr>
        <w:t xml:space="preserve">                                                                   </w:t>
      </w:r>
    </w:p>
    <w:p w:rsidR="00DA4A4C" w:rsidRDefault="00DA4A4C">
      <w:pPr>
        <w:spacing w:after="0" w:line="100" w:lineRule="atLeast"/>
        <w:jc w:val="center"/>
        <w:rPr>
          <w:rFonts w:ascii="Arial" w:hAnsi="Arial" w:cs="Arial"/>
          <w:b/>
          <w:bCs/>
          <w:sz w:val="24"/>
          <w:szCs w:val="24"/>
        </w:rPr>
      </w:pPr>
      <w:r>
        <w:rPr>
          <w:rFonts w:ascii="Arial" w:hAnsi="Arial" w:cs="Arial"/>
          <w:b/>
          <w:bCs/>
          <w:sz w:val="28"/>
          <w:szCs w:val="28"/>
        </w:rPr>
        <w:t xml:space="preserve">    </w:t>
      </w:r>
      <w:r>
        <w:rPr>
          <w:rFonts w:ascii="Arial" w:hAnsi="Arial" w:cs="Arial"/>
          <w:b/>
          <w:bCs/>
          <w:sz w:val="36"/>
          <w:szCs w:val="36"/>
        </w:rPr>
        <w:t xml:space="preserve"> Une mesure de justice sociale pour les agents de</w:t>
      </w:r>
      <w:r w:rsidR="006E719F">
        <w:rPr>
          <w:rFonts w:ascii="Arial" w:hAnsi="Arial" w:cs="Arial"/>
          <w:b/>
          <w:bCs/>
          <w:sz w:val="36"/>
          <w:szCs w:val="36"/>
        </w:rPr>
        <w:t xml:space="preserve"> la fonction publique...en demi-teinte</w:t>
      </w:r>
      <w:r>
        <w:rPr>
          <w:rFonts w:ascii="Arial" w:hAnsi="Arial" w:cs="Arial"/>
          <w:b/>
          <w:bCs/>
          <w:sz w:val="36"/>
          <w:szCs w:val="36"/>
        </w:rPr>
        <w:t> !</w:t>
      </w:r>
    </w:p>
    <w:p w:rsidR="00DA4A4C" w:rsidRDefault="00DA4A4C">
      <w:pPr>
        <w:spacing w:after="0" w:line="100" w:lineRule="atLeast"/>
        <w:rPr>
          <w:rFonts w:ascii="Arial" w:hAnsi="Arial" w:cs="Arial"/>
          <w:b/>
          <w:bCs/>
          <w:sz w:val="24"/>
          <w:szCs w:val="24"/>
        </w:rPr>
      </w:pPr>
    </w:p>
    <w:p w:rsidR="00DA4A4C" w:rsidRDefault="00DA4A4C">
      <w:pPr>
        <w:spacing w:after="0" w:line="100" w:lineRule="atLeast"/>
        <w:jc w:val="both"/>
        <w:rPr>
          <w:rFonts w:ascii="Arial" w:hAnsi="Arial" w:cs="Arial"/>
          <w:sz w:val="24"/>
          <w:szCs w:val="24"/>
        </w:rPr>
      </w:pPr>
    </w:p>
    <w:p w:rsidR="00DA4A4C" w:rsidRDefault="00DA4A4C">
      <w:pPr>
        <w:numPr>
          <w:ilvl w:val="0"/>
          <w:numId w:val="2"/>
        </w:numPr>
        <w:spacing w:after="0" w:line="100" w:lineRule="atLeast"/>
        <w:jc w:val="center"/>
        <w:rPr>
          <w:rFonts w:ascii="Arial" w:hAnsi="Arial" w:cs="Arial"/>
          <w:b/>
          <w:sz w:val="24"/>
          <w:szCs w:val="24"/>
        </w:rPr>
      </w:pPr>
      <w:r>
        <w:rPr>
          <w:rFonts w:ascii="Arial" w:hAnsi="Arial" w:cs="Arial"/>
          <w:sz w:val="24"/>
          <w:szCs w:val="24"/>
        </w:rPr>
        <w:t xml:space="preserve">L'assemblée nationale a voté* mardi 12 novembre 2013, </w:t>
      </w:r>
      <w:r>
        <w:rPr>
          <w:rFonts w:ascii="Arial" w:hAnsi="Arial" w:cs="Arial"/>
          <w:b/>
          <w:sz w:val="24"/>
          <w:szCs w:val="24"/>
        </w:rPr>
        <w:t>l'abrogation de la journée de</w:t>
      </w:r>
    </w:p>
    <w:p w:rsidR="00DA4A4C" w:rsidRDefault="00DA4A4C">
      <w:pPr>
        <w:spacing w:after="0" w:line="100" w:lineRule="atLeast"/>
        <w:jc w:val="center"/>
        <w:rPr>
          <w:rFonts w:ascii="Arial" w:hAnsi="Arial" w:cs="Arial"/>
          <w:sz w:val="24"/>
          <w:szCs w:val="24"/>
        </w:rPr>
      </w:pPr>
      <w:r>
        <w:rPr>
          <w:rFonts w:ascii="Arial" w:hAnsi="Arial" w:cs="Arial"/>
          <w:b/>
          <w:sz w:val="24"/>
          <w:szCs w:val="24"/>
        </w:rPr>
        <w:t>Carence</w:t>
      </w:r>
    </w:p>
    <w:p w:rsidR="00DA4A4C" w:rsidRDefault="00DA4A4C">
      <w:pPr>
        <w:spacing w:after="0" w:line="100" w:lineRule="atLeast"/>
        <w:jc w:val="center"/>
        <w:rPr>
          <w:rFonts w:ascii="Arial" w:hAnsi="Arial" w:cs="Arial"/>
          <w:sz w:val="24"/>
          <w:szCs w:val="24"/>
        </w:rPr>
      </w:pPr>
      <w:r>
        <w:rPr>
          <w:rFonts w:ascii="Arial" w:hAnsi="Arial" w:cs="Arial"/>
          <w:sz w:val="24"/>
          <w:szCs w:val="24"/>
        </w:rPr>
        <w:t>(*Article 67 du projet de loi de finances)</w:t>
      </w:r>
    </w:p>
    <w:p w:rsidR="00DA4A4C" w:rsidRDefault="00DA4A4C">
      <w:pPr>
        <w:spacing w:after="0" w:line="100" w:lineRule="atLeast"/>
        <w:jc w:val="center"/>
        <w:rPr>
          <w:rFonts w:ascii="Arial" w:hAnsi="Arial" w:cs="Arial"/>
          <w:sz w:val="24"/>
          <w:szCs w:val="24"/>
        </w:rPr>
      </w:pPr>
    </w:p>
    <w:p w:rsidR="00DA4A4C" w:rsidRDefault="00DA4A4C">
      <w:pPr>
        <w:spacing w:after="0" w:line="100" w:lineRule="atLeast"/>
        <w:jc w:val="center"/>
        <w:rPr>
          <w:rFonts w:ascii="Arial" w:hAnsi="Arial" w:cs="Arial"/>
          <w:sz w:val="24"/>
          <w:szCs w:val="24"/>
        </w:rPr>
      </w:pPr>
    </w:p>
    <w:p w:rsidR="00DA4A4C" w:rsidRDefault="00DA4A4C">
      <w:pPr>
        <w:spacing w:after="0" w:line="100" w:lineRule="atLeast"/>
        <w:jc w:val="center"/>
        <w:rPr>
          <w:rFonts w:ascii="Arial" w:hAnsi="Arial" w:cs="Arial"/>
          <w:sz w:val="24"/>
          <w:szCs w:val="24"/>
        </w:rPr>
      </w:pPr>
    </w:p>
    <w:p w:rsidR="00DA4A4C" w:rsidRDefault="00DA4A4C">
      <w:pPr>
        <w:spacing w:after="0" w:line="100" w:lineRule="atLeast"/>
        <w:jc w:val="both"/>
        <w:rPr>
          <w:rFonts w:ascii="Arial" w:hAnsi="Arial" w:cs="Arial"/>
          <w:b/>
          <w:sz w:val="24"/>
          <w:szCs w:val="24"/>
        </w:rPr>
      </w:pPr>
      <w:r>
        <w:rPr>
          <w:rFonts w:ascii="Arial" w:hAnsi="Arial" w:cs="Arial"/>
          <w:sz w:val="24"/>
          <w:szCs w:val="24"/>
        </w:rPr>
        <w:t>Dès la mise en place de cette journée de carence par le gouvernement précédent,</w:t>
      </w:r>
      <w:r w:rsidR="00F63058">
        <w:rPr>
          <w:rFonts w:ascii="Arial" w:hAnsi="Arial" w:cs="Arial"/>
          <w:sz w:val="24"/>
          <w:szCs w:val="24"/>
        </w:rPr>
        <w:t xml:space="preserve"> la CGT a immédiatement dénoncé</w:t>
      </w:r>
      <w:r>
        <w:rPr>
          <w:rFonts w:ascii="Arial" w:hAnsi="Arial" w:cs="Arial"/>
          <w:sz w:val="24"/>
          <w:szCs w:val="24"/>
        </w:rPr>
        <w:t xml:space="preserve"> cette mesure inutile et vexatoire et demandé le retrait de cette mesure.</w:t>
      </w:r>
    </w:p>
    <w:p w:rsidR="00DA4A4C" w:rsidRDefault="00DA4A4C">
      <w:pPr>
        <w:spacing w:after="0" w:line="100" w:lineRule="atLeast"/>
        <w:jc w:val="both"/>
      </w:pPr>
      <w:r>
        <w:rPr>
          <w:rFonts w:ascii="Arial" w:hAnsi="Arial" w:cs="Arial"/>
          <w:b/>
          <w:sz w:val="24"/>
          <w:szCs w:val="24"/>
        </w:rPr>
        <w:t>Présentée comme une mesure d’équité envers les salariés du privé, il s’agissait en réalité d’un acte politique de démagogie anti-fonctionnaire</w:t>
      </w:r>
      <w:r>
        <w:rPr>
          <w:rFonts w:ascii="Arial" w:hAnsi="Arial" w:cs="Arial"/>
          <w:sz w:val="24"/>
          <w:szCs w:val="24"/>
        </w:rPr>
        <w:t>.</w:t>
      </w:r>
    </w:p>
    <w:p w:rsidR="00DA4A4C" w:rsidRDefault="00DA4A4C">
      <w:pPr>
        <w:spacing w:after="0" w:line="100" w:lineRule="atLeast"/>
        <w:jc w:val="both"/>
      </w:pPr>
    </w:p>
    <w:p w:rsidR="00DA4A4C" w:rsidRDefault="00DA4A4C">
      <w:pPr>
        <w:spacing w:after="0" w:line="100" w:lineRule="atLeast"/>
        <w:jc w:val="center"/>
      </w:pPr>
      <w:r>
        <w:rPr>
          <w:rFonts w:ascii="Arial" w:hAnsi="Arial" w:cs="Arial"/>
          <w:b/>
          <w:bCs/>
          <w:sz w:val="24"/>
          <w:szCs w:val="24"/>
        </w:rPr>
        <w:t xml:space="preserve"> L'action syndicale, en particulier CGT, a largement contribué </w:t>
      </w:r>
      <w:r w:rsidR="006E719F">
        <w:rPr>
          <w:rFonts w:ascii="Arial" w:hAnsi="Arial" w:cs="Arial"/>
          <w:b/>
          <w:bCs/>
          <w:sz w:val="24"/>
          <w:szCs w:val="24"/>
        </w:rPr>
        <w:t>à</w:t>
      </w:r>
      <w:r>
        <w:rPr>
          <w:rFonts w:ascii="Arial" w:hAnsi="Arial" w:cs="Arial"/>
          <w:b/>
          <w:bCs/>
          <w:sz w:val="24"/>
          <w:szCs w:val="24"/>
        </w:rPr>
        <w:t xml:space="preserve"> la suppression de cette loi.</w:t>
      </w:r>
    </w:p>
    <w:p w:rsidR="00DA4A4C" w:rsidRDefault="00DA4A4C">
      <w:pPr>
        <w:spacing w:after="0" w:line="100" w:lineRule="atLeast"/>
        <w:jc w:val="center"/>
      </w:pPr>
    </w:p>
    <w:p w:rsidR="00DA4A4C" w:rsidRDefault="00DA4A4C">
      <w:pPr>
        <w:spacing w:after="0" w:line="100" w:lineRule="atLeast"/>
        <w:jc w:val="both"/>
      </w:pPr>
      <w:r>
        <w:rPr>
          <w:rFonts w:ascii="Arial" w:hAnsi="Arial" w:cs="Arial"/>
          <w:sz w:val="24"/>
          <w:szCs w:val="24"/>
        </w:rPr>
        <w:t xml:space="preserve">La ministre de la Fonction publique, Marylise </w:t>
      </w:r>
      <w:proofErr w:type="spellStart"/>
      <w:r>
        <w:rPr>
          <w:rFonts w:ascii="Arial" w:hAnsi="Arial" w:cs="Arial"/>
          <w:sz w:val="24"/>
          <w:szCs w:val="24"/>
        </w:rPr>
        <w:t>Lebranchu</w:t>
      </w:r>
      <w:proofErr w:type="spellEnd"/>
      <w:r>
        <w:rPr>
          <w:rFonts w:ascii="Arial" w:hAnsi="Arial" w:cs="Arial"/>
          <w:sz w:val="24"/>
          <w:szCs w:val="24"/>
        </w:rPr>
        <w:t xml:space="preserve"> a fini par reconnaître que cette journée de carence était une mesure:</w:t>
      </w:r>
    </w:p>
    <w:p w:rsidR="00DA4A4C" w:rsidRDefault="00DA4A4C">
      <w:pPr>
        <w:spacing w:after="0" w:line="100" w:lineRule="atLeast"/>
        <w:jc w:val="both"/>
      </w:pPr>
    </w:p>
    <w:p w:rsidR="00DA4A4C" w:rsidRDefault="00DA4A4C">
      <w:pPr>
        <w:spacing w:after="0" w:line="100" w:lineRule="atLeast"/>
        <w:jc w:val="center"/>
      </w:pPr>
      <w:r>
        <w:rPr>
          <w:rFonts w:ascii="Arial" w:hAnsi="Arial" w:cs="Arial"/>
          <w:sz w:val="24"/>
          <w:szCs w:val="24"/>
        </w:rPr>
        <w:t xml:space="preserve">        </w:t>
      </w:r>
      <w:r>
        <w:rPr>
          <w:rFonts w:ascii="Arial" w:hAnsi="Arial" w:cs="Arial"/>
          <w:sz w:val="32"/>
          <w:szCs w:val="32"/>
        </w:rPr>
        <w:t xml:space="preserve">  </w:t>
      </w:r>
      <w:r>
        <w:rPr>
          <w:rFonts w:ascii="Arial" w:hAnsi="Arial" w:cs="Arial"/>
          <w:sz w:val="32"/>
          <w:szCs w:val="32"/>
          <w:shd w:val="clear" w:color="auto" w:fill="FFFFCC"/>
        </w:rPr>
        <w:t>«</w:t>
      </w:r>
      <w:r>
        <w:rPr>
          <w:rFonts w:ascii="Arial" w:hAnsi="Arial" w:cs="Arial"/>
          <w:b/>
          <w:sz w:val="32"/>
          <w:szCs w:val="32"/>
          <w:shd w:val="clear" w:color="auto" w:fill="FFFFCC"/>
        </w:rPr>
        <w:t xml:space="preserve">Injuste, inutile, </w:t>
      </w:r>
      <w:r w:rsidR="006E719F">
        <w:rPr>
          <w:rFonts w:ascii="Arial" w:hAnsi="Arial" w:cs="Arial"/>
          <w:b/>
          <w:sz w:val="32"/>
          <w:szCs w:val="32"/>
          <w:shd w:val="clear" w:color="auto" w:fill="FFFFCC"/>
        </w:rPr>
        <w:t>inefficace</w:t>
      </w:r>
      <w:r>
        <w:rPr>
          <w:rFonts w:ascii="Arial" w:hAnsi="Arial" w:cs="Arial"/>
          <w:b/>
          <w:sz w:val="32"/>
          <w:szCs w:val="32"/>
          <w:shd w:val="clear" w:color="auto" w:fill="FFFFCC"/>
        </w:rPr>
        <w:t xml:space="preserve"> et humiliante</w:t>
      </w:r>
      <w:r>
        <w:rPr>
          <w:rFonts w:ascii="Arial" w:hAnsi="Arial" w:cs="Arial"/>
          <w:sz w:val="32"/>
          <w:szCs w:val="32"/>
          <w:shd w:val="clear" w:color="auto" w:fill="FFFFCC"/>
        </w:rPr>
        <w:t>»</w:t>
      </w:r>
    </w:p>
    <w:p w:rsidR="00DA4A4C" w:rsidRDefault="00DA4A4C">
      <w:pPr>
        <w:spacing w:after="0" w:line="100" w:lineRule="atLeast"/>
        <w:jc w:val="center"/>
      </w:pPr>
    </w:p>
    <w:p w:rsidR="00DA4A4C" w:rsidRDefault="00DA4A4C">
      <w:pPr>
        <w:spacing w:after="0" w:line="100" w:lineRule="atLeast"/>
        <w:rPr>
          <w:rFonts w:ascii="Arial" w:hAnsi="Arial" w:cs="Arial"/>
          <w:b/>
          <w:sz w:val="32"/>
          <w:szCs w:val="32"/>
          <w:shd w:val="clear" w:color="auto" w:fill="FFFFCC"/>
        </w:rPr>
      </w:pPr>
      <w:r>
        <w:rPr>
          <w:rFonts w:ascii="Arial" w:hAnsi="Arial" w:cs="Arial"/>
          <w:sz w:val="24"/>
          <w:szCs w:val="24"/>
        </w:rPr>
        <w:t>Et avait précisé:</w:t>
      </w:r>
    </w:p>
    <w:p w:rsidR="00DA4A4C" w:rsidRDefault="00DA4A4C">
      <w:pPr>
        <w:spacing w:after="0" w:line="100" w:lineRule="atLeast"/>
        <w:jc w:val="center"/>
        <w:rPr>
          <w:rFonts w:ascii="Arial" w:hAnsi="Arial" w:cs="Arial"/>
          <w:sz w:val="24"/>
          <w:szCs w:val="24"/>
        </w:rPr>
      </w:pPr>
      <w:r>
        <w:rPr>
          <w:rFonts w:ascii="Arial" w:hAnsi="Arial" w:cs="Arial"/>
          <w:b/>
          <w:sz w:val="32"/>
          <w:szCs w:val="32"/>
          <w:shd w:val="clear" w:color="auto" w:fill="FFFFCC"/>
        </w:rPr>
        <w:t>«L'absentéisme dans la fonction publique n'est pas plus fort que dans le privé</w:t>
      </w:r>
      <w:r>
        <w:rPr>
          <w:rFonts w:ascii="Arial" w:hAnsi="Arial" w:cs="Arial"/>
          <w:b/>
          <w:bCs/>
          <w:sz w:val="32"/>
          <w:szCs w:val="32"/>
          <w:shd w:val="clear" w:color="auto" w:fill="FFFFCC"/>
        </w:rPr>
        <w:t>»</w:t>
      </w:r>
    </w:p>
    <w:p w:rsidR="00DA4A4C" w:rsidRDefault="00DA4A4C">
      <w:pPr>
        <w:spacing w:after="0" w:line="100" w:lineRule="atLeast"/>
        <w:jc w:val="center"/>
        <w:rPr>
          <w:rFonts w:ascii="Arial" w:hAnsi="Arial" w:cs="Arial"/>
          <w:sz w:val="24"/>
          <w:szCs w:val="24"/>
        </w:rPr>
      </w:pPr>
    </w:p>
    <w:p w:rsidR="00DA4A4C" w:rsidRDefault="00DA4A4C">
      <w:pPr>
        <w:spacing w:after="0" w:line="100" w:lineRule="atLeast"/>
        <w:jc w:val="both"/>
        <w:rPr>
          <w:rFonts w:ascii="Arial" w:hAnsi="Arial" w:cs="Arial"/>
          <w:sz w:val="24"/>
          <w:szCs w:val="24"/>
        </w:rPr>
      </w:pPr>
      <w:r>
        <w:rPr>
          <w:rFonts w:ascii="Arial" w:hAnsi="Arial" w:cs="Arial"/>
          <w:sz w:val="24"/>
          <w:szCs w:val="24"/>
        </w:rPr>
        <w:t>Selon la ministre, "</w:t>
      </w:r>
      <w:r>
        <w:rPr>
          <w:rFonts w:ascii="Arial" w:hAnsi="Arial" w:cs="Arial"/>
          <w:b/>
          <w:sz w:val="24"/>
          <w:szCs w:val="24"/>
        </w:rPr>
        <w:t>Les effets sur l'absentéisme ne sont pas démontrés</w:t>
      </w:r>
      <w:r>
        <w:rPr>
          <w:rFonts w:ascii="Arial" w:hAnsi="Arial" w:cs="Arial"/>
          <w:sz w:val="24"/>
          <w:szCs w:val="24"/>
        </w:rPr>
        <w:t>"</w:t>
      </w:r>
    </w:p>
    <w:p w:rsidR="00DA4A4C" w:rsidRDefault="00DA4A4C">
      <w:pPr>
        <w:spacing w:after="0" w:line="100" w:lineRule="atLeast"/>
        <w:jc w:val="both"/>
        <w:rPr>
          <w:rFonts w:ascii="Arial" w:hAnsi="Arial" w:cs="Arial"/>
          <w:sz w:val="24"/>
          <w:szCs w:val="24"/>
        </w:rPr>
      </w:pPr>
      <w:r>
        <w:rPr>
          <w:rFonts w:ascii="Arial" w:hAnsi="Arial" w:cs="Arial"/>
          <w:sz w:val="24"/>
          <w:szCs w:val="24"/>
        </w:rPr>
        <w:t>Entre 2011 et 2012, la proportion en arrêt court est passée de:</w:t>
      </w:r>
    </w:p>
    <w:p w:rsidR="00DA4A4C" w:rsidRDefault="00DA4A4C">
      <w:pPr>
        <w:numPr>
          <w:ilvl w:val="0"/>
          <w:numId w:val="1"/>
        </w:numPr>
        <w:spacing w:after="0" w:line="100" w:lineRule="atLeast"/>
        <w:jc w:val="both"/>
        <w:rPr>
          <w:rFonts w:ascii="Arial" w:hAnsi="Arial" w:cs="Arial"/>
          <w:sz w:val="24"/>
          <w:szCs w:val="24"/>
        </w:rPr>
      </w:pPr>
      <w:r>
        <w:rPr>
          <w:rFonts w:ascii="Arial" w:hAnsi="Arial" w:cs="Arial"/>
          <w:sz w:val="24"/>
          <w:szCs w:val="24"/>
        </w:rPr>
        <w:t xml:space="preserve">1,2 % à 1 % Pour la fonction publique d'état </w:t>
      </w:r>
    </w:p>
    <w:p w:rsidR="00DA4A4C" w:rsidRDefault="00DA4A4C">
      <w:pPr>
        <w:numPr>
          <w:ilvl w:val="0"/>
          <w:numId w:val="1"/>
        </w:numPr>
        <w:spacing w:after="0" w:line="100" w:lineRule="atLeast"/>
        <w:jc w:val="both"/>
        <w:rPr>
          <w:rFonts w:ascii="Arial" w:hAnsi="Arial" w:cs="Arial"/>
          <w:sz w:val="24"/>
          <w:szCs w:val="24"/>
        </w:rPr>
      </w:pPr>
      <w:r>
        <w:rPr>
          <w:rFonts w:ascii="Arial" w:hAnsi="Arial" w:cs="Arial"/>
          <w:sz w:val="24"/>
          <w:szCs w:val="24"/>
        </w:rPr>
        <w:t>0,8 % à 0,7 % dans la fonction publique hospitalière</w:t>
      </w:r>
    </w:p>
    <w:p w:rsidR="00DA4A4C" w:rsidRDefault="00DA4A4C">
      <w:pPr>
        <w:numPr>
          <w:ilvl w:val="0"/>
          <w:numId w:val="1"/>
        </w:numPr>
        <w:spacing w:after="0" w:line="100" w:lineRule="atLeast"/>
        <w:jc w:val="both"/>
      </w:pPr>
      <w:r>
        <w:rPr>
          <w:rFonts w:ascii="Arial" w:hAnsi="Arial" w:cs="Arial"/>
          <w:sz w:val="24"/>
          <w:szCs w:val="24"/>
        </w:rPr>
        <w:t>Stabilité à 1,1 %, dans les collectivités territoriales</w:t>
      </w:r>
    </w:p>
    <w:p w:rsidR="00DA4A4C" w:rsidRDefault="00DA4A4C">
      <w:pPr>
        <w:spacing w:after="0" w:line="100" w:lineRule="atLeast"/>
        <w:jc w:val="both"/>
      </w:pPr>
    </w:p>
    <w:p w:rsidR="00DA4A4C" w:rsidRDefault="00DA4A4C">
      <w:pPr>
        <w:spacing w:after="0" w:line="100" w:lineRule="atLeast"/>
        <w:jc w:val="both"/>
        <w:rPr>
          <w:rFonts w:ascii="Arial" w:hAnsi="Arial" w:cs="Arial"/>
          <w:sz w:val="24"/>
          <w:szCs w:val="24"/>
        </w:rPr>
      </w:pPr>
      <w:r>
        <w:rPr>
          <w:rFonts w:ascii="Arial" w:hAnsi="Arial" w:cs="Arial"/>
          <w:sz w:val="24"/>
          <w:szCs w:val="24"/>
        </w:rPr>
        <w:t>La retenue pour jour de carence ne réglait en rien le déficit de la Sécurité sociale, argument phare du précédent gouvernement : l’argent ainsi économisé n'étant pas reversé à la caisse de Sécurité</w:t>
      </w:r>
    </w:p>
    <w:p w:rsidR="00DA4A4C" w:rsidRDefault="00DA4A4C">
      <w:pPr>
        <w:spacing w:after="0" w:line="100" w:lineRule="atLeast"/>
        <w:jc w:val="both"/>
        <w:rPr>
          <w:rFonts w:ascii="Arial" w:hAnsi="Arial" w:cs="Arial"/>
          <w:sz w:val="24"/>
          <w:szCs w:val="24"/>
        </w:rPr>
      </w:pPr>
      <w:r>
        <w:rPr>
          <w:rFonts w:ascii="Arial" w:hAnsi="Arial" w:cs="Arial"/>
          <w:sz w:val="24"/>
          <w:szCs w:val="24"/>
        </w:rPr>
        <w:t>sociale mais restant dans celles des employeurs publics.</w:t>
      </w:r>
    </w:p>
    <w:p w:rsidR="00DA4A4C" w:rsidRDefault="00DA4A4C">
      <w:pPr>
        <w:spacing w:after="0" w:line="100" w:lineRule="atLeast"/>
        <w:jc w:val="both"/>
        <w:rPr>
          <w:rFonts w:ascii="Arial" w:hAnsi="Arial" w:cs="Arial"/>
          <w:sz w:val="24"/>
          <w:szCs w:val="24"/>
        </w:rPr>
      </w:pPr>
    </w:p>
    <w:p w:rsidR="00DA4A4C" w:rsidRDefault="00DA4A4C">
      <w:pPr>
        <w:spacing w:after="0" w:line="100" w:lineRule="atLeast"/>
        <w:jc w:val="center"/>
        <w:rPr>
          <w:rFonts w:ascii="Arial" w:hAnsi="Arial" w:cs="Arial"/>
          <w:b/>
          <w:sz w:val="32"/>
          <w:szCs w:val="32"/>
        </w:rPr>
      </w:pPr>
      <w:r>
        <w:rPr>
          <w:rFonts w:ascii="Arial" w:hAnsi="Arial" w:cs="Arial"/>
          <w:b/>
          <w:sz w:val="32"/>
          <w:szCs w:val="32"/>
        </w:rPr>
        <w:t>Mais attention!</w:t>
      </w:r>
      <w:r w:rsidR="007C2ABF">
        <w:rPr>
          <w:rFonts w:ascii="Arial" w:hAnsi="Arial" w:cs="Arial"/>
          <w:b/>
          <w:sz w:val="32"/>
          <w:szCs w:val="32"/>
        </w:rPr>
        <w:t>!!!</w:t>
      </w:r>
    </w:p>
    <w:p w:rsidR="00DA4A4C" w:rsidRDefault="00DA4A4C">
      <w:pPr>
        <w:spacing w:after="0" w:line="100" w:lineRule="atLeast"/>
        <w:jc w:val="center"/>
        <w:rPr>
          <w:rFonts w:ascii="Arial" w:hAnsi="Arial" w:cs="Arial"/>
          <w:b/>
          <w:sz w:val="32"/>
          <w:szCs w:val="32"/>
        </w:rPr>
      </w:pPr>
    </w:p>
    <w:p w:rsidR="00DA4A4C" w:rsidRDefault="00DA4A4C">
      <w:pPr>
        <w:spacing w:after="0" w:line="100" w:lineRule="atLeast"/>
        <w:jc w:val="center"/>
        <w:rPr>
          <w:rFonts w:ascii="Arial" w:hAnsi="Arial" w:cs="Arial"/>
          <w:b/>
          <w:sz w:val="32"/>
          <w:szCs w:val="32"/>
        </w:rPr>
      </w:pPr>
      <w:r>
        <w:rPr>
          <w:rFonts w:ascii="Arial" w:eastAsia="Arial" w:hAnsi="Arial" w:cs="Arial"/>
          <w:b/>
          <w:sz w:val="32"/>
          <w:szCs w:val="32"/>
        </w:rPr>
        <w:t xml:space="preserve">                                                                                                        ►►</w:t>
      </w:r>
    </w:p>
    <w:p w:rsidR="00DA4A4C" w:rsidRDefault="00DA4A4C">
      <w:pPr>
        <w:spacing w:after="0" w:line="100" w:lineRule="atLeast"/>
        <w:jc w:val="center"/>
        <w:rPr>
          <w:rFonts w:ascii="Arial" w:hAnsi="Arial" w:cs="Arial"/>
          <w:b/>
        </w:rPr>
      </w:pPr>
      <w:r>
        <w:rPr>
          <w:rFonts w:ascii="Arial" w:hAnsi="Arial" w:cs="Arial"/>
          <w:b/>
          <w:sz w:val="32"/>
          <w:szCs w:val="32"/>
        </w:rPr>
        <w:lastRenderedPageBreak/>
        <w:t xml:space="preserve"> L'article 67 précise aussi:</w:t>
      </w:r>
    </w:p>
    <w:p w:rsidR="00DA4A4C" w:rsidRDefault="00DA4A4C">
      <w:pPr>
        <w:spacing w:after="0" w:line="100" w:lineRule="atLeast"/>
        <w:jc w:val="center"/>
        <w:rPr>
          <w:rFonts w:ascii="Arial" w:hAnsi="Arial" w:cs="Arial"/>
          <w:b/>
        </w:rPr>
      </w:pPr>
    </w:p>
    <w:p w:rsidR="00DA4A4C" w:rsidRDefault="00DA4A4C">
      <w:pPr>
        <w:spacing w:after="0" w:line="100" w:lineRule="atLeast"/>
        <w:jc w:val="center"/>
        <w:rPr>
          <w:sz w:val="28"/>
          <w:szCs w:val="28"/>
        </w:rPr>
      </w:pPr>
      <w:r>
        <w:rPr>
          <w:b/>
          <w:sz w:val="28"/>
          <w:szCs w:val="28"/>
        </w:rPr>
        <w:t xml:space="preserve"> Renforcement du contrôle des arrêts maladie dans la fonction publique</w:t>
      </w:r>
      <w:r>
        <w:rPr>
          <w:sz w:val="28"/>
          <w:szCs w:val="28"/>
        </w:rPr>
        <w:t>!</w:t>
      </w:r>
    </w:p>
    <w:p w:rsidR="00DA4A4C" w:rsidRDefault="00DA4A4C">
      <w:pPr>
        <w:spacing w:after="0" w:line="100" w:lineRule="atLeast"/>
        <w:jc w:val="center"/>
        <w:rPr>
          <w:sz w:val="28"/>
          <w:szCs w:val="28"/>
        </w:rPr>
      </w:pPr>
    </w:p>
    <w:p w:rsidR="00DA4A4C" w:rsidRDefault="00DA4A4C">
      <w:pPr>
        <w:numPr>
          <w:ilvl w:val="0"/>
          <w:numId w:val="3"/>
        </w:numPr>
        <w:spacing w:after="0" w:line="100" w:lineRule="atLeast"/>
        <w:rPr>
          <w:rFonts w:ascii="Arial" w:hAnsi="Arial" w:cs="Arial"/>
          <w:b/>
          <w:sz w:val="24"/>
          <w:szCs w:val="24"/>
        </w:rPr>
      </w:pPr>
      <w:r>
        <w:rPr>
          <w:sz w:val="28"/>
          <w:szCs w:val="28"/>
        </w:rPr>
        <w:t xml:space="preserve">Il est prévu de préparer la généralisation du contrôle du bien-fondé des arrêts maladie par </w:t>
      </w:r>
      <w:r>
        <w:rPr>
          <w:b/>
          <w:bCs/>
          <w:sz w:val="28"/>
          <w:szCs w:val="28"/>
          <w:u w:val="single"/>
        </w:rPr>
        <w:t>les caisses primaires d’assurance maladie</w:t>
      </w:r>
      <w:r>
        <w:rPr>
          <w:sz w:val="28"/>
          <w:szCs w:val="28"/>
        </w:rPr>
        <w:t xml:space="preserve">, afin de remédier aux insuffisances du mécanisme de contrôle existant fondé sur le recours aux médecins agréés. </w:t>
      </w:r>
    </w:p>
    <w:p w:rsidR="00DA4A4C" w:rsidRDefault="00DA4A4C">
      <w:pPr>
        <w:spacing w:after="0" w:line="100" w:lineRule="atLeast"/>
        <w:jc w:val="both"/>
        <w:rPr>
          <w:rFonts w:ascii="Arial" w:hAnsi="Arial" w:cs="Arial"/>
          <w:b/>
          <w:sz w:val="24"/>
          <w:szCs w:val="24"/>
        </w:rPr>
      </w:pPr>
    </w:p>
    <w:p w:rsidR="00DA4A4C" w:rsidRDefault="00DA4A4C">
      <w:pPr>
        <w:numPr>
          <w:ilvl w:val="0"/>
          <w:numId w:val="3"/>
        </w:numPr>
        <w:spacing w:after="0" w:line="100" w:lineRule="atLeast"/>
        <w:jc w:val="both"/>
        <w:rPr>
          <w:rFonts w:ascii="Arial" w:hAnsi="Arial" w:cs="Arial"/>
          <w:b/>
          <w:sz w:val="24"/>
          <w:szCs w:val="24"/>
        </w:rPr>
      </w:pPr>
      <w:r>
        <w:rPr>
          <w:rFonts w:ascii="Arial" w:hAnsi="Arial" w:cs="Arial"/>
          <w:b/>
          <w:sz w:val="24"/>
          <w:szCs w:val="24"/>
        </w:rPr>
        <w:t xml:space="preserve">Cet article tend aussi à aligner les règles applicables aux fonctionnaires civils et militaires, en cas de non transmission des arrêts maladie dans un délai de 48 heures, sur les dispositions applicables aux agents de droit privé, </w:t>
      </w:r>
      <w:r>
        <w:rPr>
          <w:rFonts w:ascii="Arial" w:hAnsi="Arial" w:cs="Arial"/>
          <w:b/>
          <w:sz w:val="24"/>
          <w:szCs w:val="24"/>
          <w:u w:val="single"/>
          <w:shd w:val="clear" w:color="auto" w:fill="FFFFCC"/>
        </w:rPr>
        <w:t>en clair appliquer des sanctions d'ordre financières.</w:t>
      </w:r>
    </w:p>
    <w:p w:rsidR="00DA4A4C" w:rsidRDefault="00DA4A4C">
      <w:pPr>
        <w:spacing w:after="0" w:line="100" w:lineRule="atLeast"/>
        <w:jc w:val="both"/>
        <w:rPr>
          <w:rFonts w:ascii="Arial" w:hAnsi="Arial" w:cs="Arial"/>
          <w:b/>
          <w:sz w:val="24"/>
          <w:szCs w:val="24"/>
        </w:rPr>
      </w:pPr>
    </w:p>
    <w:p w:rsidR="00DA4A4C" w:rsidRDefault="00DA4A4C">
      <w:pPr>
        <w:spacing w:after="0" w:line="100" w:lineRule="atLeast"/>
        <w:jc w:val="center"/>
        <w:rPr>
          <w:rFonts w:ascii="Arial" w:hAnsi="Arial" w:cs="Arial"/>
          <w:b/>
          <w:sz w:val="24"/>
          <w:szCs w:val="24"/>
        </w:rPr>
      </w:pPr>
      <w:r>
        <w:rPr>
          <w:rFonts w:ascii="Arial" w:hAnsi="Arial" w:cs="Arial"/>
          <w:b/>
          <w:sz w:val="36"/>
          <w:szCs w:val="36"/>
        </w:rPr>
        <w:t>Il est fort étonnant de voir apparaître de la part de nos gouvernants des projections financières telles qu’énoncées dans le texte de loi:</w:t>
      </w:r>
    </w:p>
    <w:p w:rsidR="00DA4A4C" w:rsidRDefault="00DA4A4C">
      <w:pPr>
        <w:spacing w:after="0" w:line="100" w:lineRule="atLeast"/>
        <w:jc w:val="both"/>
        <w:rPr>
          <w:rFonts w:ascii="Arial" w:hAnsi="Arial" w:cs="Arial"/>
          <w:b/>
          <w:sz w:val="24"/>
          <w:szCs w:val="24"/>
        </w:rPr>
      </w:pPr>
    </w:p>
    <w:p w:rsidR="00DA4A4C" w:rsidRDefault="00DA4A4C">
      <w:pPr>
        <w:spacing w:after="0" w:line="100" w:lineRule="atLeast"/>
        <w:jc w:val="both"/>
        <w:rPr>
          <w:rFonts w:ascii="Arial" w:hAnsi="Arial" w:cs="Arial"/>
          <w:b/>
          <w:i/>
          <w:iCs/>
          <w:sz w:val="24"/>
          <w:szCs w:val="24"/>
        </w:rPr>
      </w:pPr>
      <w:r>
        <w:rPr>
          <w:rFonts w:ascii="Arial" w:hAnsi="Arial" w:cs="Arial"/>
          <w:b/>
          <w:i/>
          <w:iCs/>
          <w:sz w:val="24"/>
          <w:szCs w:val="24"/>
          <w:shd w:val="clear" w:color="auto" w:fill="FFFFCC"/>
        </w:rPr>
        <w:t>«Ce surcoût sera réduit par les économies générées par l’amélioration du dispositif de contrôle tel que proposé par le présent article. Le renforcement des sanctions entraîne un bénéfice qui peut être estimé à 3,2 M€ pour l’État, 2,9 M€ pour la fonction publique territoriale et 1,9M€ pour la fonction publique hospitalière.»</w:t>
      </w:r>
    </w:p>
    <w:p w:rsidR="00DA4A4C" w:rsidRDefault="00DA4A4C">
      <w:pPr>
        <w:spacing w:after="0" w:line="100" w:lineRule="atLeast"/>
        <w:jc w:val="both"/>
        <w:rPr>
          <w:rFonts w:ascii="Arial" w:hAnsi="Arial" w:cs="Arial"/>
          <w:b/>
          <w:i/>
          <w:iCs/>
          <w:sz w:val="24"/>
          <w:szCs w:val="24"/>
        </w:rPr>
      </w:pPr>
    </w:p>
    <w:p w:rsidR="00DA4A4C" w:rsidRDefault="00DA4A4C">
      <w:pPr>
        <w:spacing w:after="0" w:line="100" w:lineRule="atLeast"/>
        <w:jc w:val="center"/>
        <w:rPr>
          <w:rFonts w:ascii="Arial" w:hAnsi="Arial" w:cs="Arial"/>
          <w:sz w:val="24"/>
          <w:szCs w:val="24"/>
        </w:rPr>
      </w:pPr>
      <w:r>
        <w:pict>
          <v:shape id="_x0000_s1027" type="#_x0000_t202" style="position:absolute;left:0;text-align:left;margin-left:30.05pt;margin-top:5.1pt;width:479.2pt;height:56.95pt;z-index:251657728;mso-wrap-distance-left:0;mso-wrap-distance-right:0" stroked="f">
            <v:fill color2="black"/>
            <v:textbox inset="0,0,0,0">
              <w:txbxContent>
                <w:p w:rsidR="00DA4A4C" w:rsidRDefault="00DA4A4C">
                  <w:pPr>
                    <w:spacing w:after="0" w:line="100" w:lineRule="atLeast"/>
                    <w:jc w:val="center"/>
                    <w:rPr>
                      <w:rFonts w:ascii="Arial" w:hAnsi="Arial" w:cs="Arial"/>
                      <w:b/>
                      <w:bCs/>
                      <w:sz w:val="24"/>
                      <w:szCs w:val="24"/>
                    </w:rPr>
                  </w:pPr>
                  <w:r>
                    <w:rPr>
                      <w:rFonts w:ascii="Arial" w:hAnsi="Arial" w:cs="Arial"/>
                      <w:b/>
                      <w:bCs/>
                      <w:sz w:val="24"/>
                      <w:szCs w:val="24"/>
                    </w:rPr>
                    <w:t>Ce qui peut être résumé par la mise en place d'une politique du chiffre à atteindre.</w:t>
                  </w:r>
                </w:p>
                <w:p w:rsidR="00DA4A4C" w:rsidRDefault="00DA4A4C">
                  <w:pPr>
                    <w:spacing w:after="0" w:line="100" w:lineRule="atLeast"/>
                    <w:jc w:val="center"/>
                    <w:rPr>
                      <w:rFonts w:ascii="Arial" w:hAnsi="Arial" w:cs="Arial"/>
                      <w:b/>
                      <w:bCs/>
                      <w:sz w:val="24"/>
                      <w:szCs w:val="24"/>
                    </w:rPr>
                  </w:pPr>
                </w:p>
                <w:p w:rsidR="00DA4A4C" w:rsidRDefault="00DA4A4C">
                  <w:pPr>
                    <w:spacing w:after="0" w:line="100" w:lineRule="atLeast"/>
                    <w:jc w:val="center"/>
                  </w:pPr>
                  <w:r>
                    <w:rPr>
                      <w:rFonts w:ascii="Arial" w:hAnsi="Arial" w:cs="Arial"/>
                      <w:b/>
                      <w:bCs/>
                      <w:sz w:val="36"/>
                      <w:szCs w:val="36"/>
                    </w:rPr>
                    <w:t>Sanction = bénéfice</w:t>
                  </w:r>
                </w:p>
              </w:txbxContent>
            </v:textbox>
            <w10:wrap type="square"/>
          </v:shape>
        </w:pict>
      </w:r>
    </w:p>
    <w:p w:rsidR="00DA4A4C" w:rsidRDefault="00DA4A4C">
      <w:pPr>
        <w:spacing w:after="0" w:line="100" w:lineRule="atLeast"/>
        <w:jc w:val="both"/>
        <w:rPr>
          <w:rFonts w:ascii="Arial" w:hAnsi="Arial" w:cs="Arial"/>
          <w:sz w:val="24"/>
          <w:szCs w:val="24"/>
        </w:rPr>
      </w:pPr>
    </w:p>
    <w:p w:rsidR="00DA4A4C" w:rsidRDefault="00DA4A4C">
      <w:pPr>
        <w:spacing w:after="0" w:line="100" w:lineRule="atLeast"/>
        <w:jc w:val="center"/>
        <w:rPr>
          <w:rFonts w:ascii="Arial" w:hAnsi="Arial" w:cs="Arial"/>
          <w:sz w:val="24"/>
          <w:szCs w:val="24"/>
        </w:rPr>
      </w:pPr>
    </w:p>
    <w:p w:rsidR="00DA4A4C" w:rsidRDefault="00DA4A4C">
      <w:pPr>
        <w:spacing w:after="0" w:line="100" w:lineRule="atLeast"/>
        <w:rPr>
          <w:rFonts w:ascii="Arial" w:hAnsi="Arial" w:cs="Arial"/>
          <w:sz w:val="36"/>
          <w:szCs w:val="36"/>
        </w:rPr>
      </w:pPr>
    </w:p>
    <w:p w:rsidR="00DA4A4C" w:rsidRDefault="00DA4A4C">
      <w:pPr>
        <w:spacing w:after="0" w:line="100" w:lineRule="atLeast"/>
        <w:jc w:val="both"/>
        <w:rPr>
          <w:rFonts w:ascii="Arial" w:hAnsi="Arial" w:cs="Arial"/>
          <w:sz w:val="24"/>
          <w:szCs w:val="24"/>
        </w:rPr>
      </w:pPr>
    </w:p>
    <w:p w:rsidR="00DA4A4C" w:rsidRDefault="00DA4A4C">
      <w:pPr>
        <w:spacing w:after="0" w:line="100" w:lineRule="atLeast"/>
        <w:jc w:val="center"/>
        <w:rPr>
          <w:rFonts w:ascii="Arial" w:hAnsi="Arial" w:cs="Arial"/>
          <w:b/>
          <w:sz w:val="30"/>
          <w:szCs w:val="30"/>
        </w:rPr>
      </w:pPr>
      <w:r>
        <w:rPr>
          <w:rFonts w:ascii="Arial" w:hAnsi="Arial" w:cs="Arial"/>
          <w:b/>
          <w:sz w:val="30"/>
          <w:szCs w:val="30"/>
        </w:rPr>
        <w:t xml:space="preserve">Ce qui inquiète la CGT ce n'est </w:t>
      </w:r>
      <w:r w:rsidR="006E719F">
        <w:rPr>
          <w:rFonts w:ascii="Arial" w:hAnsi="Arial" w:cs="Arial"/>
          <w:b/>
          <w:sz w:val="30"/>
          <w:szCs w:val="30"/>
        </w:rPr>
        <w:t xml:space="preserve">pas </w:t>
      </w:r>
      <w:r>
        <w:rPr>
          <w:rFonts w:ascii="Arial" w:hAnsi="Arial" w:cs="Arial"/>
          <w:b/>
          <w:sz w:val="30"/>
          <w:szCs w:val="30"/>
        </w:rPr>
        <w:t xml:space="preserve">tant le contrôle, mais le cadrage financier, avec  obligation de </w:t>
      </w:r>
      <w:r>
        <w:rPr>
          <w:rFonts w:ascii="Arial" w:hAnsi="Arial" w:cs="Arial"/>
          <w:b/>
          <w:sz w:val="30"/>
          <w:szCs w:val="30"/>
          <w:u w:val="single"/>
        </w:rPr>
        <w:t>bénéfice</w:t>
      </w:r>
      <w:r>
        <w:rPr>
          <w:rFonts w:ascii="Arial" w:hAnsi="Arial" w:cs="Arial"/>
          <w:b/>
          <w:sz w:val="30"/>
          <w:szCs w:val="30"/>
        </w:rPr>
        <w:t xml:space="preserve"> à la clé pour amortir la suppression du jour de carence.</w:t>
      </w:r>
    </w:p>
    <w:p w:rsidR="00DA4A4C" w:rsidRDefault="00DA4A4C">
      <w:pPr>
        <w:spacing w:after="0" w:line="100" w:lineRule="atLeast"/>
        <w:jc w:val="center"/>
        <w:rPr>
          <w:rFonts w:ascii="Arial" w:hAnsi="Arial" w:cs="Arial"/>
          <w:b/>
          <w:sz w:val="30"/>
          <w:szCs w:val="30"/>
        </w:rPr>
      </w:pPr>
    </w:p>
    <w:p w:rsidR="00DA4A4C" w:rsidRDefault="00DA4A4C">
      <w:pPr>
        <w:numPr>
          <w:ilvl w:val="0"/>
          <w:numId w:val="5"/>
        </w:numPr>
        <w:spacing w:after="0" w:line="100" w:lineRule="atLeast"/>
        <w:jc w:val="center"/>
        <w:rPr>
          <w:rFonts w:ascii="Arial" w:hAnsi="Arial" w:cs="Arial"/>
          <w:b/>
          <w:sz w:val="30"/>
          <w:szCs w:val="30"/>
        </w:rPr>
      </w:pPr>
      <w:r>
        <w:rPr>
          <w:rFonts w:ascii="Arial" w:hAnsi="Arial" w:cs="Arial"/>
          <w:b/>
          <w:sz w:val="30"/>
          <w:szCs w:val="30"/>
        </w:rPr>
        <w:t>Qui subira les pressions pour atteindre ces chiffres?</w:t>
      </w:r>
    </w:p>
    <w:p w:rsidR="00DA4A4C" w:rsidRDefault="00DA4A4C">
      <w:pPr>
        <w:numPr>
          <w:ilvl w:val="0"/>
          <w:numId w:val="4"/>
        </w:numPr>
        <w:spacing w:after="0" w:line="100" w:lineRule="atLeast"/>
        <w:jc w:val="center"/>
        <w:rPr>
          <w:rFonts w:ascii="Arial" w:hAnsi="Arial" w:cs="Arial"/>
          <w:b/>
          <w:sz w:val="30"/>
          <w:szCs w:val="30"/>
        </w:rPr>
      </w:pPr>
      <w:r>
        <w:rPr>
          <w:rFonts w:ascii="Arial" w:hAnsi="Arial" w:cs="Arial"/>
          <w:b/>
          <w:sz w:val="30"/>
          <w:szCs w:val="30"/>
        </w:rPr>
        <w:t>Les directions</w:t>
      </w:r>
    </w:p>
    <w:p w:rsidR="00DA4A4C" w:rsidRDefault="00DA4A4C">
      <w:pPr>
        <w:numPr>
          <w:ilvl w:val="0"/>
          <w:numId w:val="4"/>
        </w:numPr>
        <w:spacing w:after="0" w:line="100" w:lineRule="atLeast"/>
        <w:jc w:val="center"/>
        <w:rPr>
          <w:rFonts w:ascii="Arial" w:hAnsi="Arial" w:cs="Arial"/>
          <w:b/>
          <w:sz w:val="30"/>
          <w:szCs w:val="30"/>
        </w:rPr>
      </w:pPr>
      <w:r>
        <w:rPr>
          <w:rFonts w:ascii="Arial" w:hAnsi="Arial" w:cs="Arial"/>
          <w:b/>
          <w:sz w:val="30"/>
          <w:szCs w:val="30"/>
        </w:rPr>
        <w:t>Les médecins contrôleurs</w:t>
      </w:r>
    </w:p>
    <w:p w:rsidR="00DA4A4C" w:rsidRDefault="00DA4A4C">
      <w:pPr>
        <w:spacing w:after="0" w:line="100" w:lineRule="atLeast"/>
        <w:jc w:val="center"/>
        <w:rPr>
          <w:rFonts w:ascii="Arial" w:hAnsi="Arial" w:cs="Arial"/>
          <w:b/>
          <w:sz w:val="30"/>
          <w:szCs w:val="30"/>
        </w:rPr>
      </w:pPr>
    </w:p>
    <w:p w:rsidR="00DA4A4C" w:rsidRDefault="00DA4A4C">
      <w:pPr>
        <w:numPr>
          <w:ilvl w:val="0"/>
          <w:numId w:val="6"/>
        </w:numPr>
        <w:spacing w:after="0" w:line="100" w:lineRule="atLeast"/>
        <w:jc w:val="center"/>
        <w:rPr>
          <w:rFonts w:ascii="Arial" w:hAnsi="Arial" w:cs="Arial"/>
          <w:b/>
          <w:sz w:val="30"/>
          <w:szCs w:val="30"/>
        </w:rPr>
      </w:pPr>
      <w:r>
        <w:rPr>
          <w:rFonts w:ascii="Arial" w:hAnsi="Arial" w:cs="Arial"/>
          <w:b/>
          <w:sz w:val="30"/>
          <w:szCs w:val="30"/>
        </w:rPr>
        <w:t>Qui subira les effets de la politique du chiffre?</w:t>
      </w:r>
    </w:p>
    <w:p w:rsidR="00DA4A4C" w:rsidRDefault="00DA4A4C">
      <w:pPr>
        <w:numPr>
          <w:ilvl w:val="0"/>
          <w:numId w:val="7"/>
        </w:numPr>
        <w:spacing w:after="0" w:line="100" w:lineRule="atLeast"/>
        <w:jc w:val="center"/>
        <w:rPr>
          <w:rFonts w:ascii="Arial" w:hAnsi="Arial" w:cs="Arial"/>
          <w:b/>
          <w:sz w:val="30"/>
          <w:szCs w:val="30"/>
        </w:rPr>
      </w:pPr>
      <w:r>
        <w:rPr>
          <w:rFonts w:ascii="Arial" w:hAnsi="Arial" w:cs="Arial"/>
          <w:b/>
          <w:sz w:val="30"/>
          <w:szCs w:val="30"/>
        </w:rPr>
        <w:t>Nous!</w:t>
      </w:r>
    </w:p>
    <w:p w:rsidR="00DA4A4C" w:rsidRDefault="00DA4A4C">
      <w:pPr>
        <w:spacing w:after="0" w:line="100" w:lineRule="atLeast"/>
        <w:jc w:val="center"/>
        <w:rPr>
          <w:rFonts w:ascii="Arial" w:hAnsi="Arial" w:cs="Arial"/>
          <w:b/>
          <w:sz w:val="30"/>
          <w:szCs w:val="30"/>
        </w:rPr>
      </w:pPr>
    </w:p>
    <w:p w:rsidR="00DA4A4C" w:rsidRDefault="00DA4A4C">
      <w:pPr>
        <w:spacing w:after="0" w:line="100" w:lineRule="atLeast"/>
        <w:jc w:val="center"/>
        <w:rPr>
          <w:rFonts w:ascii="Arial" w:hAnsi="Arial" w:cs="Arial"/>
          <w:b/>
          <w:i/>
          <w:iCs/>
          <w:sz w:val="24"/>
          <w:szCs w:val="24"/>
        </w:rPr>
      </w:pPr>
      <w:r>
        <w:rPr>
          <w:rFonts w:ascii="Arial" w:hAnsi="Arial" w:cs="Arial"/>
          <w:b/>
          <w:sz w:val="36"/>
          <w:szCs w:val="36"/>
        </w:rPr>
        <w:t>La CGT ne laissera pas faire n'importe quoi, tant au niveau local que national.</w:t>
      </w:r>
    </w:p>
    <w:p w:rsidR="006E719F" w:rsidRPr="006E719F" w:rsidRDefault="00DA4A4C" w:rsidP="006E719F">
      <w:pPr>
        <w:spacing w:after="0" w:line="100" w:lineRule="atLeast"/>
        <w:jc w:val="both"/>
        <w:rPr>
          <w:rFonts w:ascii="Arial" w:hAnsi="Arial" w:cs="Arial"/>
          <w:b/>
          <w:i/>
          <w:iCs/>
          <w:sz w:val="24"/>
          <w:szCs w:val="24"/>
        </w:rPr>
      </w:pPr>
      <w:r>
        <w:rPr>
          <w:rFonts w:ascii="Arial" w:hAnsi="Arial" w:cs="Arial"/>
          <w:b/>
          <w:i/>
          <w:iCs/>
          <w:sz w:val="24"/>
          <w:szCs w:val="24"/>
        </w:rPr>
        <w:t xml:space="preserve"> </w:t>
      </w:r>
    </w:p>
    <w:p w:rsidR="00F63058" w:rsidRDefault="006E719F" w:rsidP="006E719F">
      <w:pPr>
        <w:spacing w:after="0" w:line="100" w:lineRule="atLeast"/>
        <w:rPr>
          <w:rFonts w:ascii="Arial" w:hAnsi="Arial" w:cs="Arial"/>
          <w:b/>
          <w:i/>
          <w:iCs/>
          <w:sz w:val="24"/>
          <w:szCs w:val="24"/>
        </w:rPr>
      </w:pPr>
      <w:r>
        <w:rPr>
          <w:rFonts w:ascii="Arial" w:hAnsi="Arial" w:cs="Arial"/>
          <w:b/>
          <w:i/>
          <w:iCs/>
          <w:sz w:val="24"/>
          <w:szCs w:val="24"/>
        </w:rPr>
        <w:t xml:space="preserve">                        </w:t>
      </w:r>
    </w:p>
    <w:p w:rsidR="00F63058" w:rsidRDefault="00F63058" w:rsidP="006E719F">
      <w:pPr>
        <w:spacing w:after="0" w:line="100" w:lineRule="atLeast"/>
        <w:rPr>
          <w:rFonts w:ascii="Arial" w:hAnsi="Arial" w:cs="Arial"/>
          <w:b/>
          <w:i/>
          <w:iCs/>
          <w:sz w:val="24"/>
          <w:szCs w:val="24"/>
        </w:rPr>
      </w:pPr>
    </w:p>
    <w:p w:rsidR="00DA4A4C" w:rsidRPr="00F63058" w:rsidRDefault="006E719F" w:rsidP="00F63058">
      <w:pPr>
        <w:spacing w:after="0" w:line="100" w:lineRule="atLeast"/>
        <w:ind w:left="708" w:firstLine="708"/>
        <w:rPr>
          <w:rFonts w:ascii="Arial" w:hAnsi="Arial" w:cs="Arial"/>
          <w:b/>
          <w:sz w:val="28"/>
          <w:szCs w:val="28"/>
        </w:rPr>
      </w:pPr>
      <w:r w:rsidRPr="00F63058">
        <w:rPr>
          <w:rFonts w:ascii="Arial" w:hAnsi="Arial" w:cs="Arial"/>
          <w:b/>
          <w:i/>
          <w:iCs/>
          <w:sz w:val="28"/>
          <w:szCs w:val="28"/>
        </w:rPr>
        <w:t xml:space="preserve"> CGT du CHIC</w:t>
      </w:r>
      <w:r w:rsidRPr="00F63058">
        <w:rPr>
          <w:rFonts w:ascii="Arial" w:hAnsi="Arial" w:cs="Arial"/>
          <w:b/>
          <w:sz w:val="28"/>
          <w:szCs w:val="28"/>
        </w:rPr>
        <w:t xml:space="preserve">  </w:t>
      </w:r>
      <w:r w:rsidRPr="00F63058">
        <w:rPr>
          <w:rFonts w:ascii="Arial" w:hAnsi="Arial" w:cs="Arial"/>
          <w:sz w:val="28"/>
          <w:szCs w:val="28"/>
        </w:rPr>
        <w:t xml:space="preserve">Tel: 02 98 52 60 82  </w:t>
      </w:r>
      <w:r w:rsidR="00DA4A4C" w:rsidRPr="00F63058">
        <w:rPr>
          <w:rFonts w:ascii="Arial" w:hAnsi="Arial" w:cs="Arial"/>
          <w:sz w:val="28"/>
          <w:szCs w:val="28"/>
        </w:rPr>
        <w:t xml:space="preserve">- </w:t>
      </w:r>
      <w:r w:rsidRPr="00F63058">
        <w:rPr>
          <w:rFonts w:ascii="Arial" w:hAnsi="Arial" w:cs="Arial"/>
          <w:sz w:val="28"/>
          <w:szCs w:val="28"/>
        </w:rPr>
        <w:t xml:space="preserve"> </w:t>
      </w:r>
      <w:r w:rsidR="00DA4A4C" w:rsidRPr="00F63058">
        <w:rPr>
          <w:rFonts w:ascii="Arial" w:hAnsi="Arial" w:cs="Arial"/>
          <w:sz w:val="28"/>
          <w:szCs w:val="28"/>
        </w:rPr>
        <w:t xml:space="preserve">Mail: </w:t>
      </w:r>
      <w:hyperlink r:id="rId6" w:history="1">
        <w:r w:rsidRPr="00F63058">
          <w:rPr>
            <w:rStyle w:val="Lienhypertexte"/>
            <w:rFonts w:ascii="Arial" w:hAnsi="Arial" w:cs="Arial"/>
            <w:sz w:val="28"/>
            <w:szCs w:val="28"/>
          </w:rPr>
          <w:t>cgt@ch-cornouail</w:t>
        </w:r>
        <w:r w:rsidRPr="00F63058">
          <w:rPr>
            <w:rStyle w:val="Lienhypertexte"/>
            <w:rFonts w:ascii="Arial" w:hAnsi="Arial" w:cs="Arial"/>
            <w:sz w:val="28"/>
            <w:szCs w:val="28"/>
            <w:lang w:val="fr-FR"/>
          </w:rPr>
          <w:t>l</w:t>
        </w:r>
        <w:r w:rsidRPr="00F63058">
          <w:rPr>
            <w:rStyle w:val="Lienhypertexte"/>
            <w:rFonts w:ascii="Arial" w:hAnsi="Arial" w:cs="Arial"/>
            <w:sz w:val="28"/>
            <w:szCs w:val="28"/>
          </w:rPr>
          <w:t>e.fr</w:t>
        </w:r>
      </w:hyperlink>
    </w:p>
    <w:p w:rsidR="00DA4A4C" w:rsidRDefault="00DA4A4C">
      <w:pPr>
        <w:ind w:left="-180"/>
        <w:jc w:val="center"/>
        <w:rPr>
          <w:rFonts w:ascii="Arial" w:hAnsi="Arial" w:cs="Arial"/>
          <w:sz w:val="16"/>
          <w:szCs w:val="16"/>
        </w:rPr>
      </w:pPr>
    </w:p>
    <w:p w:rsidR="00DA4A4C" w:rsidRDefault="00DA4A4C">
      <w:pPr>
        <w:ind w:left="-180"/>
        <w:jc w:val="center"/>
        <w:rPr>
          <w:rFonts w:ascii="Arial" w:hAnsi="Arial" w:cs="Arial"/>
          <w:sz w:val="16"/>
          <w:szCs w:val="16"/>
        </w:rPr>
      </w:pPr>
    </w:p>
    <w:p w:rsidR="00DA4A4C" w:rsidRDefault="00DA4A4C">
      <w:pPr>
        <w:ind w:left="-180"/>
        <w:jc w:val="center"/>
      </w:pPr>
    </w:p>
    <w:p w:rsidR="00DA4A4C" w:rsidRDefault="00DA4A4C">
      <w:pPr>
        <w:spacing w:after="0" w:line="100" w:lineRule="atLeast"/>
        <w:rPr>
          <w:rFonts w:ascii="Arial" w:hAnsi="Arial" w:cs="Arial"/>
          <w:b/>
          <w:sz w:val="24"/>
          <w:szCs w:val="24"/>
        </w:rPr>
      </w:pPr>
    </w:p>
    <w:p w:rsidR="00DA4A4C" w:rsidRDefault="00DA4A4C">
      <w:pPr>
        <w:spacing w:after="0" w:line="100" w:lineRule="atLeast"/>
        <w:rPr>
          <w:rFonts w:ascii="Arial" w:hAnsi="Arial" w:cs="Arial"/>
          <w:b/>
          <w:bCs/>
          <w:i/>
          <w:iCs/>
          <w:color w:val="FF0000"/>
          <w:sz w:val="32"/>
          <w:szCs w:val="32"/>
        </w:rPr>
      </w:pPr>
      <w:r>
        <w:rPr>
          <w:rFonts w:ascii="Arial" w:hAnsi="Arial" w:cs="Arial"/>
          <w:b/>
          <w:bCs/>
          <w:i/>
          <w:iCs/>
          <w:color w:val="FF0000"/>
          <w:sz w:val="32"/>
          <w:szCs w:val="32"/>
        </w:rPr>
        <w:t xml:space="preserve">                                                                                    </w:t>
      </w:r>
    </w:p>
    <w:p w:rsidR="00DA4A4C" w:rsidRDefault="00DA4A4C">
      <w:pPr>
        <w:spacing w:after="120"/>
        <w:rPr>
          <w:rFonts w:ascii="Arial" w:hAnsi="Arial" w:cs="Arial"/>
          <w:b/>
          <w:bCs/>
          <w:i/>
          <w:iCs/>
          <w:color w:val="FF0000"/>
          <w:sz w:val="32"/>
          <w:szCs w:val="32"/>
        </w:rPr>
      </w:pPr>
      <w:r>
        <w:rPr>
          <w:rFonts w:ascii="Arial" w:hAnsi="Arial" w:cs="Arial"/>
          <w:b/>
          <w:bCs/>
          <w:i/>
          <w:iCs/>
          <w:color w:val="FF0000"/>
          <w:sz w:val="32"/>
          <w:szCs w:val="32"/>
        </w:rPr>
        <w:tab/>
      </w:r>
      <w:r>
        <w:rPr>
          <w:rFonts w:ascii="Arial" w:hAnsi="Arial" w:cs="Arial"/>
          <w:b/>
          <w:bCs/>
          <w:i/>
          <w:iCs/>
          <w:color w:val="FF0000"/>
          <w:sz w:val="32"/>
          <w:szCs w:val="32"/>
        </w:rPr>
        <w:tab/>
        <w:t xml:space="preserve">  </w:t>
      </w:r>
    </w:p>
    <w:p w:rsidR="00DA4A4C" w:rsidRDefault="00DA4A4C">
      <w:pPr>
        <w:spacing w:after="120"/>
        <w:rPr>
          <w:rFonts w:ascii="Arial" w:hAnsi="Arial" w:cs="Arial"/>
          <w:sz w:val="20"/>
          <w:szCs w:val="20"/>
        </w:rPr>
      </w:pPr>
      <w:r>
        <w:rPr>
          <w:rFonts w:ascii="Arial" w:hAnsi="Arial" w:cs="Arial"/>
          <w:b/>
          <w:bCs/>
          <w:i/>
          <w:iCs/>
          <w:color w:val="FF0000"/>
          <w:sz w:val="32"/>
          <w:szCs w:val="32"/>
        </w:rPr>
        <w:t xml:space="preserve">                                                                                  </w:t>
      </w:r>
    </w:p>
    <w:p w:rsidR="00DA4A4C" w:rsidRDefault="00DA4A4C">
      <w:pPr>
        <w:spacing w:after="0" w:line="100" w:lineRule="atLeast"/>
      </w:pPr>
      <w:r>
        <w:rPr>
          <w:rFonts w:ascii="Arial" w:hAnsi="Arial" w:cs="Arial"/>
          <w:sz w:val="20"/>
          <w:szCs w:val="20"/>
        </w:rPr>
        <w:t xml:space="preserve">                                                                                                                   </w:t>
      </w:r>
    </w:p>
    <w:p w:rsidR="00DA4A4C" w:rsidRDefault="00DA4A4C">
      <w:r>
        <w:t xml:space="preserve">                                                                                                                                </w:t>
      </w:r>
    </w:p>
    <w:p w:rsidR="00DA4A4C" w:rsidRDefault="00DA4A4C">
      <w:r>
        <w:t xml:space="preserve">                                                                                                                                   </w:t>
      </w:r>
    </w:p>
    <w:sectPr w:rsidR="00DA4A4C">
      <w:pgSz w:w="12240" w:h="15840"/>
      <w:pgMar w:top="720" w:right="720" w:bottom="720" w:left="720"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font225">
    <w:altName w:val="Times New Roman"/>
    <w:charset w:val="00"/>
    <w:family w:val="auto"/>
    <w:pitch w:val="variable"/>
    <w:sig w:usb0="00000000" w:usb1="00000000" w:usb2="00000000" w:usb3="00000000" w:csb0="00000000" w:csb1="00000000"/>
  </w:font>
  <w:font w:name="Microsoft YaHei">
    <w:charset w:val="00"/>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Arial"/>
      </w:rPr>
    </w:lvl>
    <w:lvl w:ilvl="1">
      <w:start w:val="1"/>
      <w:numFmt w:val="bullet"/>
      <w:lvlText w:val=""/>
      <w:lvlJc w:val="left"/>
      <w:pPr>
        <w:tabs>
          <w:tab w:val="num" w:pos="1080"/>
        </w:tabs>
        <w:ind w:left="1080" w:hanging="360"/>
      </w:pPr>
      <w:rPr>
        <w:rFonts w:ascii="Wingdings" w:hAnsi="Wingdings" w:cs="Arial"/>
      </w:rPr>
    </w:lvl>
    <w:lvl w:ilvl="2">
      <w:start w:val="1"/>
      <w:numFmt w:val="bullet"/>
      <w:lvlText w:val=""/>
      <w:lvlJc w:val="left"/>
      <w:pPr>
        <w:tabs>
          <w:tab w:val="num" w:pos="1440"/>
        </w:tabs>
        <w:ind w:left="1440" w:hanging="360"/>
      </w:pPr>
      <w:rPr>
        <w:rFonts w:ascii="Wingdings" w:hAnsi="Wingdings" w:cs="Arial"/>
      </w:rPr>
    </w:lvl>
    <w:lvl w:ilvl="3">
      <w:start w:val="1"/>
      <w:numFmt w:val="bullet"/>
      <w:lvlText w:val=""/>
      <w:lvlJc w:val="left"/>
      <w:pPr>
        <w:tabs>
          <w:tab w:val="num" w:pos="1800"/>
        </w:tabs>
        <w:ind w:left="1800" w:hanging="360"/>
      </w:pPr>
      <w:rPr>
        <w:rFonts w:ascii="Wingdings" w:hAnsi="Wingdings" w:cs="Arial"/>
      </w:rPr>
    </w:lvl>
    <w:lvl w:ilvl="4">
      <w:start w:val="1"/>
      <w:numFmt w:val="bullet"/>
      <w:lvlText w:val=""/>
      <w:lvlJc w:val="left"/>
      <w:pPr>
        <w:tabs>
          <w:tab w:val="num" w:pos="2160"/>
        </w:tabs>
        <w:ind w:left="2160" w:hanging="360"/>
      </w:pPr>
      <w:rPr>
        <w:rFonts w:ascii="Wingdings" w:hAnsi="Wingdings" w:cs="Arial"/>
      </w:rPr>
    </w:lvl>
    <w:lvl w:ilvl="5">
      <w:start w:val="1"/>
      <w:numFmt w:val="bullet"/>
      <w:lvlText w:val=""/>
      <w:lvlJc w:val="left"/>
      <w:pPr>
        <w:tabs>
          <w:tab w:val="num" w:pos="2520"/>
        </w:tabs>
        <w:ind w:left="2520" w:hanging="360"/>
      </w:pPr>
      <w:rPr>
        <w:rFonts w:ascii="Wingdings" w:hAnsi="Wingdings" w:cs="Arial"/>
      </w:rPr>
    </w:lvl>
    <w:lvl w:ilvl="6">
      <w:start w:val="1"/>
      <w:numFmt w:val="bullet"/>
      <w:lvlText w:val=""/>
      <w:lvlJc w:val="left"/>
      <w:pPr>
        <w:tabs>
          <w:tab w:val="num" w:pos="2880"/>
        </w:tabs>
        <w:ind w:left="2880" w:hanging="360"/>
      </w:pPr>
      <w:rPr>
        <w:rFonts w:ascii="Wingdings" w:hAnsi="Wingdings" w:cs="Arial"/>
      </w:rPr>
    </w:lvl>
    <w:lvl w:ilvl="7">
      <w:start w:val="1"/>
      <w:numFmt w:val="bullet"/>
      <w:lvlText w:val=""/>
      <w:lvlJc w:val="left"/>
      <w:pPr>
        <w:tabs>
          <w:tab w:val="num" w:pos="3240"/>
        </w:tabs>
        <w:ind w:left="3240" w:hanging="360"/>
      </w:pPr>
      <w:rPr>
        <w:rFonts w:ascii="Wingdings" w:hAnsi="Wingdings" w:cs="Arial"/>
      </w:rPr>
    </w:lvl>
    <w:lvl w:ilvl="8">
      <w:start w:val="1"/>
      <w:numFmt w:val="bullet"/>
      <w:lvlText w:val=""/>
      <w:lvlJc w:val="left"/>
      <w:pPr>
        <w:tabs>
          <w:tab w:val="num" w:pos="3600"/>
        </w:tabs>
        <w:ind w:left="3600" w:hanging="360"/>
      </w:pPr>
      <w:rPr>
        <w:rFonts w:ascii="Wingdings" w:hAnsi="Wingdings" w:cs="Aria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6E719F"/>
    <w:rsid w:val="000C2E73"/>
    <w:rsid w:val="006E719F"/>
    <w:rsid w:val="007C2ABF"/>
    <w:rsid w:val="00DA4A4C"/>
    <w:rsid w:val="00F630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cs="Arial"/>
    </w:rPr>
  </w:style>
  <w:style w:type="character" w:customStyle="1" w:styleId="WW8Num3z0">
    <w:name w:val="WW8Num3z0"/>
    <w:rPr>
      <w:rFonts w:ascii="Wingdings" w:hAnsi="Wingdings"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efaultParagraphFont">
    <w:name w:val="Default Paragraph Font"/>
  </w:style>
  <w:style w:type="character" w:customStyle="1" w:styleId="En-tteCar">
    <w:name w:val="En-tête Car"/>
    <w:basedOn w:val="DefaultParagraphFont"/>
  </w:style>
  <w:style w:type="character" w:customStyle="1" w:styleId="PieddepageCar">
    <w:name w:val="Pied de page Car"/>
    <w:basedOn w:val="DefaultParagraphFont"/>
  </w:style>
  <w:style w:type="character" w:customStyle="1" w:styleId="TitreCar">
    <w:name w:val="Titre Car"/>
    <w:basedOn w:val="DefaultParagraphFont"/>
    <w:rPr>
      <w:rFonts w:ascii="Arial" w:eastAsia="SimSun" w:hAnsi="Arial" w:cs="Arial"/>
      <w:b/>
      <w:bCs/>
      <w:i/>
      <w:iCs/>
      <w:kern w:val="1"/>
      <w:sz w:val="20"/>
      <w:szCs w:val="36"/>
      <w:lang w:eastAsia="hi-IN" w:bidi="hi-IN"/>
    </w:rPr>
  </w:style>
  <w:style w:type="character" w:customStyle="1" w:styleId="Sous-titreCar">
    <w:name w:val="Sous-titre Car"/>
    <w:basedOn w:val="DefaultParagraphFont"/>
    <w:rPr>
      <w:rFonts w:ascii="Cambria" w:hAnsi="Cambria" w:cs="font225"/>
      <w:i/>
      <w:iCs/>
      <w:color w:val="4F81BD"/>
      <w:spacing w:val="15"/>
      <w:sz w:val="24"/>
      <w:szCs w:val="24"/>
    </w:rPr>
  </w:style>
  <w:style w:type="character" w:styleId="Lienhypertexte">
    <w:name w:val="Hyperlink"/>
    <w:basedOn w:val="DefaultParagraphFont"/>
    <w:rPr>
      <w:color w:val="0000FF"/>
      <w:u w:val="single"/>
      <w:lang/>
    </w:rPr>
  </w:style>
  <w:style w:type="character" w:customStyle="1" w:styleId="Puces">
    <w:name w:val="Puces"/>
    <w:rPr>
      <w:rFonts w:ascii="OpenSymbol" w:eastAsia="OpenSymbol" w:hAnsi="OpenSymbol" w:cs="OpenSymbol"/>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pPr>
      <w:suppressLineNumbers/>
      <w:tabs>
        <w:tab w:val="center" w:pos="4536"/>
        <w:tab w:val="right" w:pos="9072"/>
      </w:tabs>
      <w:spacing w:after="0" w:line="100" w:lineRule="atLeast"/>
    </w:pPr>
  </w:style>
  <w:style w:type="paragraph" w:styleId="Pieddepage">
    <w:name w:val="footer"/>
    <w:basedOn w:val="Normal"/>
    <w:pPr>
      <w:suppressLineNumbers/>
      <w:tabs>
        <w:tab w:val="center" w:pos="4536"/>
        <w:tab w:val="right" w:pos="9072"/>
      </w:tabs>
      <w:spacing w:after="0" w:line="100" w:lineRule="atLeast"/>
    </w:pPr>
  </w:style>
  <w:style w:type="paragraph" w:styleId="Titre">
    <w:name w:val="Title"/>
    <w:basedOn w:val="Normal"/>
    <w:next w:val="Sous-titre"/>
    <w:qFormat/>
    <w:pPr>
      <w:widowControl w:val="0"/>
      <w:spacing w:after="0" w:line="100" w:lineRule="atLeast"/>
      <w:jc w:val="center"/>
    </w:pPr>
    <w:rPr>
      <w:rFonts w:ascii="Arial" w:hAnsi="Arial" w:cs="Arial"/>
      <w:b/>
      <w:bCs/>
      <w:i/>
      <w:iCs/>
      <w:sz w:val="20"/>
      <w:szCs w:val="36"/>
      <w:lang w:eastAsia="hi-IN" w:bidi="hi-IN"/>
    </w:rPr>
  </w:style>
  <w:style w:type="paragraph" w:styleId="Sous-titre">
    <w:name w:val="Subtitle"/>
    <w:basedOn w:val="Normal"/>
    <w:next w:val="Corpsdetexte"/>
    <w:qFormat/>
    <w:rPr>
      <w:rFonts w:ascii="Cambria" w:hAnsi="Cambria" w:cs="font225"/>
      <w:i/>
      <w:iCs/>
      <w:color w:val="4F81BD"/>
      <w:spacing w:val="15"/>
      <w:sz w:val="24"/>
      <w:szCs w:val="24"/>
    </w:rPr>
  </w:style>
  <w:style w:type="paragraph" w:customStyle="1" w:styleId="Contenuducadre">
    <w:name w:val="Contenu du cadre"/>
    <w:basedOn w:val="Corpsdetext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gt@ch-cornouaille.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602</Words>
  <Characters>3314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3909</CharactersWithSpaces>
  <SharedDoc>false</SharedDoc>
  <HLinks>
    <vt:vector size="6" baseType="variant">
      <vt:variant>
        <vt:i4>1441909</vt:i4>
      </vt:variant>
      <vt:variant>
        <vt:i4>0</vt:i4>
      </vt:variant>
      <vt:variant>
        <vt:i4>0</vt:i4>
      </vt:variant>
      <vt:variant>
        <vt:i4>5</vt:i4>
      </vt:variant>
      <vt:variant>
        <vt:lpwstr>mailto:cgt@ch-cornouaille.fr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GUILLOUZOUIC</dc:creator>
  <cp:keywords/>
  <cp:lastModifiedBy>chic</cp:lastModifiedBy>
  <cp:revision>2</cp:revision>
  <cp:lastPrinted>2013-11-21T14:41:00Z</cp:lastPrinted>
  <dcterms:created xsi:type="dcterms:W3CDTF">2013-11-25T15:11:00Z</dcterms:created>
  <dcterms:modified xsi:type="dcterms:W3CDTF">2013-11-25T15:11:00Z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